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F79C" w14:textId="77777777" w:rsidR="00D715B9" w:rsidRPr="00AF3DB0" w:rsidRDefault="00D715B9" w:rsidP="00D715B9">
      <w:pPr>
        <w:outlineLvl w:val="0"/>
        <w:rPr>
          <w:i/>
        </w:rPr>
      </w:pPr>
      <w:r w:rsidRPr="00AF3DB0">
        <w:rPr>
          <w:i/>
        </w:rPr>
        <w:t>Course Design Matrix for Embedding Critical Components of Engagement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885"/>
        <w:gridCol w:w="2340"/>
        <w:gridCol w:w="1926"/>
        <w:gridCol w:w="1926"/>
        <w:gridCol w:w="1926"/>
        <w:gridCol w:w="1926"/>
        <w:gridCol w:w="1499"/>
      </w:tblGrid>
      <w:tr w:rsidR="00D715B9" w:rsidRPr="00AF3DB0" w14:paraId="29F4FC53" w14:textId="77777777" w:rsidTr="00570C75">
        <w:tc>
          <w:tcPr>
            <w:tcW w:w="4225" w:type="dxa"/>
            <w:gridSpan w:val="2"/>
            <w:vMerge w:val="restart"/>
            <w:vAlign w:val="center"/>
          </w:tcPr>
          <w:p w14:paraId="05DFDCCA" w14:textId="77777777" w:rsidR="00D715B9" w:rsidRPr="00AF3DB0" w:rsidRDefault="00D715B9" w:rsidP="00570C75">
            <w:pPr>
              <w:jc w:val="center"/>
            </w:pPr>
            <w:r w:rsidRPr="00AF3DB0">
              <w:t>Critical Components of Engagement</w:t>
            </w:r>
          </w:p>
        </w:tc>
        <w:tc>
          <w:tcPr>
            <w:tcW w:w="9203" w:type="dxa"/>
            <w:gridSpan w:val="5"/>
          </w:tcPr>
          <w:p w14:paraId="7825DEF0" w14:textId="77777777" w:rsidR="00D715B9" w:rsidRDefault="00D715B9" w:rsidP="00570C75">
            <w:r w:rsidRPr="00AF3DB0">
              <w:t xml:space="preserve">List of Course Assignments </w:t>
            </w:r>
            <w:r>
              <w:t>and Activities</w:t>
            </w:r>
          </w:p>
          <w:p w14:paraId="5FE687CF" w14:textId="77777777" w:rsidR="00D715B9" w:rsidRPr="00AF3DB0" w:rsidRDefault="00D715B9" w:rsidP="00570C75">
            <w:r>
              <w:t xml:space="preserve">Directions: </w:t>
            </w:r>
            <w:r w:rsidRPr="00AF3DB0">
              <w:t xml:space="preserve">For each assignment identify if and how </w:t>
            </w:r>
            <w:r>
              <w:t>each component is incorporated.</w:t>
            </w:r>
          </w:p>
        </w:tc>
      </w:tr>
      <w:tr w:rsidR="00D715B9" w:rsidRPr="00AF3DB0" w14:paraId="40C0332D" w14:textId="77777777" w:rsidTr="00570C75">
        <w:tc>
          <w:tcPr>
            <w:tcW w:w="4225" w:type="dxa"/>
            <w:gridSpan w:val="2"/>
            <w:vMerge/>
          </w:tcPr>
          <w:p w14:paraId="3680B3C0" w14:textId="77777777" w:rsidR="00D715B9" w:rsidRPr="00AF3DB0" w:rsidRDefault="00D715B9" w:rsidP="00570C75"/>
        </w:tc>
        <w:tc>
          <w:tcPr>
            <w:tcW w:w="1926" w:type="dxa"/>
          </w:tcPr>
          <w:p w14:paraId="027C9E0D" w14:textId="77777777" w:rsidR="00D715B9" w:rsidRPr="00AF3DB0" w:rsidRDefault="00D715B9" w:rsidP="00570C75">
            <w:r w:rsidRPr="00AF3DB0">
              <w:t>1.</w:t>
            </w:r>
          </w:p>
        </w:tc>
        <w:tc>
          <w:tcPr>
            <w:tcW w:w="1926" w:type="dxa"/>
          </w:tcPr>
          <w:p w14:paraId="01C80F46" w14:textId="77777777" w:rsidR="00D715B9" w:rsidRPr="00AF3DB0" w:rsidRDefault="00D715B9" w:rsidP="00570C75">
            <w:r w:rsidRPr="00AF3DB0">
              <w:t>2.</w:t>
            </w:r>
          </w:p>
        </w:tc>
        <w:tc>
          <w:tcPr>
            <w:tcW w:w="1926" w:type="dxa"/>
          </w:tcPr>
          <w:p w14:paraId="72FEACE5" w14:textId="77777777" w:rsidR="00D715B9" w:rsidRPr="00AF3DB0" w:rsidRDefault="00D715B9" w:rsidP="00570C75">
            <w:r w:rsidRPr="00AF3DB0">
              <w:t>3.</w:t>
            </w:r>
          </w:p>
        </w:tc>
        <w:tc>
          <w:tcPr>
            <w:tcW w:w="1926" w:type="dxa"/>
          </w:tcPr>
          <w:p w14:paraId="2F3BD46F" w14:textId="77777777" w:rsidR="00D715B9" w:rsidRPr="00AF3DB0" w:rsidRDefault="00D715B9" w:rsidP="00570C75">
            <w:r w:rsidRPr="00AF3DB0">
              <w:t>4.</w:t>
            </w:r>
          </w:p>
        </w:tc>
        <w:tc>
          <w:tcPr>
            <w:tcW w:w="1499" w:type="dxa"/>
          </w:tcPr>
          <w:p w14:paraId="25517347" w14:textId="77777777" w:rsidR="00D715B9" w:rsidRPr="00AF3DB0" w:rsidRDefault="00D715B9" w:rsidP="00570C75">
            <w:r w:rsidRPr="00AF3DB0">
              <w:t>5.</w:t>
            </w:r>
          </w:p>
        </w:tc>
      </w:tr>
      <w:tr w:rsidR="00D715B9" w:rsidRPr="00AF3DB0" w14:paraId="4C2C248E" w14:textId="77777777" w:rsidTr="00570C75">
        <w:trPr>
          <w:trHeight w:val="537"/>
        </w:trPr>
        <w:tc>
          <w:tcPr>
            <w:tcW w:w="1885" w:type="dxa"/>
            <w:vMerge w:val="restart"/>
            <w:vAlign w:val="center"/>
          </w:tcPr>
          <w:p w14:paraId="28780AA8" w14:textId="77777777" w:rsidR="00D715B9" w:rsidRPr="00AF3DB0" w:rsidRDefault="00D715B9" w:rsidP="00570C75">
            <w:pPr>
              <w:jc w:val="center"/>
            </w:pPr>
            <w:r w:rsidRPr="00AF3DB0">
              <w:t>Personal Factors</w:t>
            </w:r>
          </w:p>
          <w:p w14:paraId="203DA98C" w14:textId="77777777" w:rsidR="00D715B9" w:rsidRPr="00AF3DB0" w:rsidRDefault="00D715B9" w:rsidP="00570C75">
            <w:pPr>
              <w:jc w:val="center"/>
            </w:pPr>
          </w:p>
          <w:p w14:paraId="789E2384" w14:textId="77777777" w:rsidR="00D715B9" w:rsidRPr="00AF3DB0" w:rsidRDefault="00D715B9" w:rsidP="00570C75">
            <w:pPr>
              <w:jc w:val="center"/>
            </w:pPr>
          </w:p>
        </w:tc>
        <w:tc>
          <w:tcPr>
            <w:tcW w:w="2340" w:type="dxa"/>
          </w:tcPr>
          <w:p w14:paraId="65C57FFA" w14:textId="77777777" w:rsidR="00D715B9" w:rsidRPr="001C0519" w:rsidRDefault="00D715B9" w:rsidP="00570C75">
            <w:r w:rsidRPr="00AF3DB0">
              <w:t>Choice relate</w:t>
            </w:r>
            <w:r>
              <w:t xml:space="preserve">d to learner’s personal </w:t>
            </w:r>
            <w:r w:rsidRPr="00AF3DB0">
              <w:t>interest</w:t>
            </w:r>
            <w:r>
              <w:t>s</w:t>
            </w:r>
          </w:p>
        </w:tc>
        <w:tc>
          <w:tcPr>
            <w:tcW w:w="1926" w:type="dxa"/>
          </w:tcPr>
          <w:p w14:paraId="64CB91EE" w14:textId="77777777" w:rsidR="00D715B9" w:rsidRPr="00AF3DB0" w:rsidRDefault="00D715B9" w:rsidP="00570C75"/>
        </w:tc>
        <w:tc>
          <w:tcPr>
            <w:tcW w:w="1926" w:type="dxa"/>
          </w:tcPr>
          <w:p w14:paraId="70AA37D1" w14:textId="77777777" w:rsidR="00D715B9" w:rsidRPr="00AF3DB0" w:rsidRDefault="00D715B9" w:rsidP="00570C75"/>
        </w:tc>
        <w:tc>
          <w:tcPr>
            <w:tcW w:w="1926" w:type="dxa"/>
          </w:tcPr>
          <w:p w14:paraId="4D2C3D65" w14:textId="77777777" w:rsidR="00D715B9" w:rsidRPr="00AF3DB0" w:rsidRDefault="00D715B9" w:rsidP="00570C75"/>
        </w:tc>
        <w:tc>
          <w:tcPr>
            <w:tcW w:w="1926" w:type="dxa"/>
          </w:tcPr>
          <w:p w14:paraId="353C17E5" w14:textId="77777777" w:rsidR="00D715B9" w:rsidRPr="00AF3DB0" w:rsidRDefault="00D715B9" w:rsidP="00570C75"/>
        </w:tc>
        <w:tc>
          <w:tcPr>
            <w:tcW w:w="1499" w:type="dxa"/>
          </w:tcPr>
          <w:p w14:paraId="5D6D7B9D" w14:textId="77777777" w:rsidR="00D715B9" w:rsidRPr="00AF3DB0" w:rsidRDefault="00D715B9" w:rsidP="00570C75"/>
        </w:tc>
      </w:tr>
      <w:tr w:rsidR="00D715B9" w:rsidRPr="00AF3DB0" w14:paraId="754D2187" w14:textId="77777777" w:rsidTr="00570C75">
        <w:trPr>
          <w:trHeight w:val="536"/>
        </w:trPr>
        <w:tc>
          <w:tcPr>
            <w:tcW w:w="1885" w:type="dxa"/>
            <w:vMerge/>
            <w:vAlign w:val="center"/>
          </w:tcPr>
          <w:p w14:paraId="5483325A" w14:textId="77777777" w:rsidR="00D715B9" w:rsidRPr="00AF3DB0" w:rsidRDefault="00D715B9" w:rsidP="00570C75">
            <w:pPr>
              <w:jc w:val="center"/>
            </w:pPr>
          </w:p>
        </w:tc>
        <w:tc>
          <w:tcPr>
            <w:tcW w:w="2340" w:type="dxa"/>
          </w:tcPr>
          <w:p w14:paraId="482F8D92" w14:textId="77777777" w:rsidR="00D715B9" w:rsidRPr="001C0519" w:rsidRDefault="00D715B9" w:rsidP="00570C75">
            <w:pPr>
              <w:rPr>
                <w:rFonts w:eastAsia="Calibri"/>
              </w:rPr>
            </w:pPr>
            <w:r w:rsidRPr="00AF3DB0">
              <w:rPr>
                <w:rFonts w:eastAsia="Calibri"/>
              </w:rPr>
              <w:t>Incorporates learner’s personal frame of reference</w:t>
            </w:r>
            <w:r>
              <w:rPr>
                <w:rFonts w:eastAsia="Calibri"/>
              </w:rPr>
              <w:t xml:space="preserve"> and context</w:t>
            </w:r>
          </w:p>
        </w:tc>
        <w:tc>
          <w:tcPr>
            <w:tcW w:w="1926" w:type="dxa"/>
          </w:tcPr>
          <w:p w14:paraId="635702F0" w14:textId="77777777" w:rsidR="00D715B9" w:rsidRDefault="00D715B9" w:rsidP="00570C75"/>
          <w:p w14:paraId="1C18966B" w14:textId="77777777" w:rsidR="00080AB1" w:rsidRDefault="00080AB1" w:rsidP="00570C75"/>
          <w:p w14:paraId="764F498E" w14:textId="77777777" w:rsidR="00080AB1" w:rsidRDefault="00080AB1" w:rsidP="00570C75"/>
          <w:p w14:paraId="5AC5BFC0" w14:textId="77777777" w:rsidR="00080AB1" w:rsidRPr="00AF3DB0" w:rsidRDefault="00080AB1" w:rsidP="00570C75"/>
        </w:tc>
        <w:tc>
          <w:tcPr>
            <w:tcW w:w="1926" w:type="dxa"/>
          </w:tcPr>
          <w:p w14:paraId="6F5A09A1" w14:textId="77777777" w:rsidR="00D715B9" w:rsidRPr="00AF3DB0" w:rsidRDefault="00D715B9" w:rsidP="00570C75"/>
        </w:tc>
        <w:tc>
          <w:tcPr>
            <w:tcW w:w="1926" w:type="dxa"/>
          </w:tcPr>
          <w:p w14:paraId="6C30605E" w14:textId="77777777" w:rsidR="00D715B9" w:rsidRPr="00AF3DB0" w:rsidRDefault="00D715B9" w:rsidP="00570C75"/>
        </w:tc>
        <w:tc>
          <w:tcPr>
            <w:tcW w:w="1926" w:type="dxa"/>
          </w:tcPr>
          <w:p w14:paraId="16EDF228" w14:textId="77777777" w:rsidR="00D715B9" w:rsidRPr="00AF3DB0" w:rsidRDefault="00D715B9" w:rsidP="00570C75"/>
        </w:tc>
        <w:tc>
          <w:tcPr>
            <w:tcW w:w="1499" w:type="dxa"/>
          </w:tcPr>
          <w:p w14:paraId="416FB3AF" w14:textId="77777777" w:rsidR="00D715B9" w:rsidRPr="00AF3DB0" w:rsidRDefault="00D715B9" w:rsidP="00570C75"/>
        </w:tc>
      </w:tr>
      <w:tr w:rsidR="00D715B9" w:rsidRPr="00AF3DB0" w14:paraId="42B0ABB2" w14:textId="77777777" w:rsidTr="00570C75">
        <w:trPr>
          <w:trHeight w:val="536"/>
        </w:trPr>
        <w:tc>
          <w:tcPr>
            <w:tcW w:w="1885" w:type="dxa"/>
            <w:vMerge/>
            <w:vAlign w:val="center"/>
          </w:tcPr>
          <w:p w14:paraId="2B0C39E5" w14:textId="77777777" w:rsidR="00D715B9" w:rsidRPr="00AF3DB0" w:rsidRDefault="00D715B9" w:rsidP="00570C75">
            <w:pPr>
              <w:jc w:val="center"/>
            </w:pPr>
          </w:p>
        </w:tc>
        <w:tc>
          <w:tcPr>
            <w:tcW w:w="2340" w:type="dxa"/>
          </w:tcPr>
          <w:p w14:paraId="0F15D7CB" w14:textId="77777777" w:rsidR="00D715B9" w:rsidRDefault="00D715B9" w:rsidP="00570C75">
            <w:r w:rsidRPr="00AF3DB0">
              <w:t>Encourages active reflection</w:t>
            </w:r>
          </w:p>
          <w:p w14:paraId="540432CE" w14:textId="77777777" w:rsidR="00D715B9" w:rsidRDefault="00D715B9" w:rsidP="00570C75"/>
          <w:p w14:paraId="401DDB2F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546E6573" w14:textId="77777777" w:rsidR="00D715B9" w:rsidRPr="00AF3DB0" w:rsidRDefault="00D715B9" w:rsidP="00570C75"/>
        </w:tc>
        <w:tc>
          <w:tcPr>
            <w:tcW w:w="1926" w:type="dxa"/>
          </w:tcPr>
          <w:p w14:paraId="2A36E2A4" w14:textId="77777777" w:rsidR="00D715B9" w:rsidRPr="00AF3DB0" w:rsidRDefault="00D715B9" w:rsidP="00570C75"/>
        </w:tc>
        <w:tc>
          <w:tcPr>
            <w:tcW w:w="1926" w:type="dxa"/>
          </w:tcPr>
          <w:p w14:paraId="16A17CB5" w14:textId="77777777" w:rsidR="00D715B9" w:rsidRPr="00AF3DB0" w:rsidRDefault="00D715B9" w:rsidP="00570C75"/>
        </w:tc>
        <w:tc>
          <w:tcPr>
            <w:tcW w:w="1926" w:type="dxa"/>
          </w:tcPr>
          <w:p w14:paraId="4C39D809" w14:textId="77777777" w:rsidR="00D715B9" w:rsidRPr="00AF3DB0" w:rsidRDefault="00D715B9" w:rsidP="00570C75"/>
        </w:tc>
        <w:tc>
          <w:tcPr>
            <w:tcW w:w="1499" w:type="dxa"/>
          </w:tcPr>
          <w:p w14:paraId="6221B885" w14:textId="77777777" w:rsidR="00D715B9" w:rsidRPr="00AF3DB0" w:rsidRDefault="00D715B9" w:rsidP="00570C75"/>
        </w:tc>
      </w:tr>
      <w:tr w:rsidR="00D715B9" w:rsidRPr="00AF3DB0" w14:paraId="6857DD0C" w14:textId="77777777" w:rsidTr="00570C75">
        <w:trPr>
          <w:trHeight w:val="535"/>
        </w:trPr>
        <w:tc>
          <w:tcPr>
            <w:tcW w:w="1885" w:type="dxa"/>
            <w:vMerge w:val="restart"/>
            <w:vAlign w:val="center"/>
          </w:tcPr>
          <w:p w14:paraId="0EB79C4A" w14:textId="77777777" w:rsidR="00D715B9" w:rsidRPr="00AF3DB0" w:rsidRDefault="00D715B9" w:rsidP="00570C75">
            <w:pPr>
              <w:jc w:val="center"/>
            </w:pPr>
            <w:r w:rsidRPr="00AF3DB0">
              <w:t>Social Interaction</w:t>
            </w:r>
          </w:p>
        </w:tc>
        <w:tc>
          <w:tcPr>
            <w:tcW w:w="2340" w:type="dxa"/>
          </w:tcPr>
          <w:p w14:paraId="34F38771" w14:textId="77777777" w:rsidR="00D715B9" w:rsidRDefault="00D715B9" w:rsidP="00570C75">
            <w:r w:rsidRPr="00AF3DB0">
              <w:t>Community building component</w:t>
            </w:r>
          </w:p>
          <w:p w14:paraId="7D9FDB9B" w14:textId="77777777" w:rsidR="00D715B9" w:rsidRDefault="00D715B9" w:rsidP="00570C75">
            <w:pPr>
              <w:rPr>
                <w:sz w:val="10"/>
                <w:szCs w:val="10"/>
              </w:rPr>
            </w:pPr>
          </w:p>
          <w:p w14:paraId="78B8B62D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6131D9B3" w14:textId="77777777" w:rsidR="00D715B9" w:rsidRDefault="00D715B9" w:rsidP="00570C75"/>
          <w:p w14:paraId="5079A3E2" w14:textId="77777777" w:rsidR="00080AB1" w:rsidRDefault="00080AB1" w:rsidP="00570C75"/>
          <w:p w14:paraId="6590F89B" w14:textId="77777777" w:rsidR="00080AB1" w:rsidRPr="00AF3DB0" w:rsidRDefault="00080AB1" w:rsidP="00570C75"/>
        </w:tc>
        <w:tc>
          <w:tcPr>
            <w:tcW w:w="1926" w:type="dxa"/>
          </w:tcPr>
          <w:p w14:paraId="059E348B" w14:textId="77777777" w:rsidR="00D715B9" w:rsidRPr="00AF3DB0" w:rsidRDefault="00D715B9" w:rsidP="00570C75"/>
        </w:tc>
        <w:tc>
          <w:tcPr>
            <w:tcW w:w="1926" w:type="dxa"/>
          </w:tcPr>
          <w:p w14:paraId="215270FF" w14:textId="77777777" w:rsidR="00D715B9" w:rsidRPr="00AF3DB0" w:rsidRDefault="00D715B9" w:rsidP="00570C75"/>
        </w:tc>
        <w:tc>
          <w:tcPr>
            <w:tcW w:w="1926" w:type="dxa"/>
          </w:tcPr>
          <w:p w14:paraId="72C59876" w14:textId="77777777" w:rsidR="00D715B9" w:rsidRPr="00AF3DB0" w:rsidRDefault="00D715B9" w:rsidP="00570C75"/>
        </w:tc>
        <w:tc>
          <w:tcPr>
            <w:tcW w:w="1499" w:type="dxa"/>
          </w:tcPr>
          <w:p w14:paraId="2176DF0E" w14:textId="77777777" w:rsidR="00D715B9" w:rsidRPr="00AF3DB0" w:rsidRDefault="00D715B9" w:rsidP="00570C75"/>
        </w:tc>
      </w:tr>
      <w:tr w:rsidR="00D715B9" w:rsidRPr="00AF3DB0" w14:paraId="5AD176FE" w14:textId="77777777" w:rsidTr="00570C75">
        <w:trPr>
          <w:trHeight w:val="535"/>
        </w:trPr>
        <w:tc>
          <w:tcPr>
            <w:tcW w:w="1885" w:type="dxa"/>
            <w:vMerge/>
            <w:vAlign w:val="center"/>
          </w:tcPr>
          <w:p w14:paraId="0DC801B6" w14:textId="77777777" w:rsidR="00D715B9" w:rsidRPr="00AF3DB0" w:rsidRDefault="00D715B9" w:rsidP="00570C75">
            <w:pPr>
              <w:jc w:val="center"/>
            </w:pPr>
          </w:p>
        </w:tc>
        <w:tc>
          <w:tcPr>
            <w:tcW w:w="2340" w:type="dxa"/>
          </w:tcPr>
          <w:p w14:paraId="4CF64941" w14:textId="77777777" w:rsidR="00D715B9" w:rsidRPr="00AF3DB0" w:rsidRDefault="00D715B9" w:rsidP="00570C75">
            <w:r w:rsidRPr="00AF3DB0">
              <w:t>Faculty to Learners</w:t>
            </w:r>
          </w:p>
          <w:p w14:paraId="1F652DEA" w14:textId="77777777" w:rsidR="00D715B9" w:rsidRDefault="00D715B9" w:rsidP="00570C75"/>
          <w:p w14:paraId="079F21AF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7EDBE879" w14:textId="77777777" w:rsidR="00D715B9" w:rsidRDefault="00D715B9" w:rsidP="00570C75"/>
          <w:p w14:paraId="5572691C" w14:textId="77777777" w:rsidR="00080AB1" w:rsidRDefault="00080AB1" w:rsidP="00570C75"/>
          <w:p w14:paraId="21373A74" w14:textId="77777777" w:rsidR="00080AB1" w:rsidRPr="00AF3DB0" w:rsidRDefault="00080AB1" w:rsidP="00570C75"/>
        </w:tc>
        <w:tc>
          <w:tcPr>
            <w:tcW w:w="1926" w:type="dxa"/>
          </w:tcPr>
          <w:p w14:paraId="5ECA4177" w14:textId="77777777" w:rsidR="00D715B9" w:rsidRPr="00AF3DB0" w:rsidRDefault="00D715B9" w:rsidP="00570C75"/>
        </w:tc>
        <w:tc>
          <w:tcPr>
            <w:tcW w:w="1926" w:type="dxa"/>
          </w:tcPr>
          <w:p w14:paraId="103E5D75" w14:textId="77777777" w:rsidR="00D715B9" w:rsidRPr="00AF3DB0" w:rsidRDefault="00D715B9" w:rsidP="00570C75"/>
        </w:tc>
        <w:tc>
          <w:tcPr>
            <w:tcW w:w="1926" w:type="dxa"/>
          </w:tcPr>
          <w:p w14:paraId="43940235" w14:textId="77777777" w:rsidR="00D715B9" w:rsidRPr="00AF3DB0" w:rsidRDefault="00D715B9" w:rsidP="00570C75"/>
        </w:tc>
        <w:tc>
          <w:tcPr>
            <w:tcW w:w="1499" w:type="dxa"/>
          </w:tcPr>
          <w:p w14:paraId="202587A5" w14:textId="77777777" w:rsidR="00D715B9" w:rsidRPr="00AF3DB0" w:rsidRDefault="00D715B9" w:rsidP="00570C75"/>
        </w:tc>
      </w:tr>
      <w:tr w:rsidR="00D715B9" w:rsidRPr="00AF3DB0" w14:paraId="175E90A2" w14:textId="77777777" w:rsidTr="00570C75">
        <w:trPr>
          <w:trHeight w:val="535"/>
        </w:trPr>
        <w:tc>
          <w:tcPr>
            <w:tcW w:w="1885" w:type="dxa"/>
            <w:vMerge/>
            <w:vAlign w:val="center"/>
          </w:tcPr>
          <w:p w14:paraId="30CED500" w14:textId="77777777" w:rsidR="00D715B9" w:rsidRPr="00AF3DB0" w:rsidRDefault="00D715B9" w:rsidP="00570C75">
            <w:pPr>
              <w:jc w:val="center"/>
            </w:pPr>
          </w:p>
        </w:tc>
        <w:tc>
          <w:tcPr>
            <w:tcW w:w="2340" w:type="dxa"/>
          </w:tcPr>
          <w:p w14:paraId="09CE3BF7" w14:textId="77777777" w:rsidR="00D715B9" w:rsidRDefault="00D715B9" w:rsidP="00570C75">
            <w:r w:rsidRPr="00AF3DB0">
              <w:t>Peer to Peer</w:t>
            </w:r>
          </w:p>
          <w:p w14:paraId="47DF39D6" w14:textId="77777777" w:rsidR="00D715B9" w:rsidRDefault="00D715B9" w:rsidP="00570C75"/>
          <w:p w14:paraId="59BAAF0B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69DA0CD7" w14:textId="77777777" w:rsidR="00D715B9" w:rsidRDefault="00D715B9" w:rsidP="00570C75"/>
          <w:p w14:paraId="6D2B77C2" w14:textId="77777777" w:rsidR="00080AB1" w:rsidRDefault="00080AB1" w:rsidP="00570C75"/>
          <w:p w14:paraId="379E3DA5" w14:textId="77777777" w:rsidR="00080AB1" w:rsidRPr="00AF3DB0" w:rsidRDefault="00080AB1" w:rsidP="00570C75"/>
        </w:tc>
        <w:tc>
          <w:tcPr>
            <w:tcW w:w="1926" w:type="dxa"/>
          </w:tcPr>
          <w:p w14:paraId="4CAFB9A2" w14:textId="77777777" w:rsidR="00D715B9" w:rsidRPr="00AF3DB0" w:rsidRDefault="00D715B9" w:rsidP="00570C75"/>
        </w:tc>
        <w:tc>
          <w:tcPr>
            <w:tcW w:w="1926" w:type="dxa"/>
          </w:tcPr>
          <w:p w14:paraId="0C715BC3" w14:textId="77777777" w:rsidR="00D715B9" w:rsidRPr="00AF3DB0" w:rsidRDefault="00D715B9" w:rsidP="00570C75"/>
        </w:tc>
        <w:tc>
          <w:tcPr>
            <w:tcW w:w="1926" w:type="dxa"/>
          </w:tcPr>
          <w:p w14:paraId="73DA0E7F" w14:textId="77777777" w:rsidR="00D715B9" w:rsidRPr="00AF3DB0" w:rsidRDefault="00D715B9" w:rsidP="00570C75"/>
        </w:tc>
        <w:tc>
          <w:tcPr>
            <w:tcW w:w="1499" w:type="dxa"/>
          </w:tcPr>
          <w:p w14:paraId="0F6B02FE" w14:textId="77777777" w:rsidR="00D715B9" w:rsidRPr="00AF3DB0" w:rsidRDefault="00D715B9" w:rsidP="00570C75"/>
        </w:tc>
      </w:tr>
      <w:tr w:rsidR="00D715B9" w:rsidRPr="00AF3DB0" w14:paraId="1A5548E4" w14:textId="77777777" w:rsidTr="00570C75">
        <w:trPr>
          <w:trHeight w:val="270"/>
        </w:trPr>
        <w:tc>
          <w:tcPr>
            <w:tcW w:w="1885" w:type="dxa"/>
            <w:vMerge w:val="restart"/>
            <w:vAlign w:val="center"/>
          </w:tcPr>
          <w:p w14:paraId="21DF5FD5" w14:textId="77777777" w:rsidR="00D715B9" w:rsidRPr="00AF3DB0" w:rsidRDefault="00D715B9" w:rsidP="00570C75">
            <w:pPr>
              <w:jc w:val="center"/>
            </w:pPr>
            <w:r w:rsidRPr="00AF3DB0">
              <w:t>Problem-Based Learning Context</w:t>
            </w:r>
          </w:p>
        </w:tc>
        <w:tc>
          <w:tcPr>
            <w:tcW w:w="2340" w:type="dxa"/>
          </w:tcPr>
          <w:p w14:paraId="116C4513" w14:textId="77777777" w:rsidR="00D715B9" w:rsidRPr="001C0519" w:rsidRDefault="00D715B9" w:rsidP="00570C75">
            <w:r>
              <w:t>Real w</w:t>
            </w:r>
            <w:r w:rsidRPr="00AF3DB0">
              <w:t xml:space="preserve">orld </w:t>
            </w:r>
            <w:r>
              <w:t>p</w:t>
            </w:r>
            <w:r w:rsidRPr="00AF3DB0">
              <w:t>roblems related to immediate needs of learners</w:t>
            </w:r>
          </w:p>
        </w:tc>
        <w:tc>
          <w:tcPr>
            <w:tcW w:w="1926" w:type="dxa"/>
          </w:tcPr>
          <w:p w14:paraId="01A2A374" w14:textId="77777777" w:rsidR="00D715B9" w:rsidRDefault="00D715B9" w:rsidP="00570C75"/>
          <w:p w14:paraId="5765396F" w14:textId="77777777" w:rsidR="00080AB1" w:rsidRDefault="00080AB1" w:rsidP="00570C75"/>
          <w:p w14:paraId="61593C2D" w14:textId="77777777" w:rsidR="00080AB1" w:rsidRDefault="00080AB1" w:rsidP="00570C75"/>
          <w:p w14:paraId="37668262" w14:textId="77777777" w:rsidR="00080AB1" w:rsidRPr="00AF3DB0" w:rsidRDefault="00080AB1" w:rsidP="00570C75"/>
        </w:tc>
        <w:tc>
          <w:tcPr>
            <w:tcW w:w="1926" w:type="dxa"/>
          </w:tcPr>
          <w:p w14:paraId="72A4C2FD" w14:textId="77777777" w:rsidR="00D715B9" w:rsidRPr="00AF3DB0" w:rsidRDefault="00D715B9" w:rsidP="00570C75"/>
        </w:tc>
        <w:tc>
          <w:tcPr>
            <w:tcW w:w="1926" w:type="dxa"/>
          </w:tcPr>
          <w:p w14:paraId="35D95880" w14:textId="77777777" w:rsidR="00D715B9" w:rsidRPr="00AF3DB0" w:rsidRDefault="00D715B9" w:rsidP="00570C75"/>
        </w:tc>
        <w:tc>
          <w:tcPr>
            <w:tcW w:w="1926" w:type="dxa"/>
          </w:tcPr>
          <w:p w14:paraId="6E24F240" w14:textId="77777777" w:rsidR="00D715B9" w:rsidRPr="00AF3DB0" w:rsidRDefault="00D715B9" w:rsidP="00570C75"/>
        </w:tc>
        <w:tc>
          <w:tcPr>
            <w:tcW w:w="1499" w:type="dxa"/>
          </w:tcPr>
          <w:p w14:paraId="1A6E7398" w14:textId="77777777" w:rsidR="00D715B9" w:rsidRPr="00AF3DB0" w:rsidRDefault="00D715B9" w:rsidP="00570C75"/>
        </w:tc>
      </w:tr>
      <w:tr w:rsidR="00D715B9" w:rsidRPr="00AF3DB0" w14:paraId="50582856" w14:textId="77777777" w:rsidTr="00570C75">
        <w:trPr>
          <w:trHeight w:val="270"/>
        </w:trPr>
        <w:tc>
          <w:tcPr>
            <w:tcW w:w="1885" w:type="dxa"/>
            <w:vMerge/>
          </w:tcPr>
          <w:p w14:paraId="54DA0EEB" w14:textId="77777777" w:rsidR="00D715B9" w:rsidRPr="00AF3DB0" w:rsidRDefault="00D715B9" w:rsidP="00570C75"/>
        </w:tc>
        <w:tc>
          <w:tcPr>
            <w:tcW w:w="2340" w:type="dxa"/>
          </w:tcPr>
          <w:p w14:paraId="4C7B4123" w14:textId="77777777" w:rsidR="00D715B9" w:rsidRDefault="00D715B9" w:rsidP="00570C75">
            <w:r>
              <w:t>Specifies a r</w:t>
            </w:r>
            <w:r w:rsidRPr="00AF3DB0">
              <w:t>ationale for learning</w:t>
            </w:r>
          </w:p>
          <w:p w14:paraId="2F7EA78B" w14:textId="77777777" w:rsidR="00D715B9" w:rsidRDefault="00D715B9" w:rsidP="00570C75">
            <w:pPr>
              <w:rPr>
                <w:sz w:val="10"/>
                <w:szCs w:val="10"/>
              </w:rPr>
            </w:pPr>
          </w:p>
          <w:p w14:paraId="28EE5272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59DD95D0" w14:textId="77777777" w:rsidR="00D715B9" w:rsidRDefault="00D715B9" w:rsidP="00570C75"/>
          <w:p w14:paraId="24C92175" w14:textId="77777777" w:rsidR="00080AB1" w:rsidRDefault="00080AB1" w:rsidP="00570C75"/>
          <w:p w14:paraId="531557A0" w14:textId="77777777" w:rsidR="00080AB1" w:rsidRDefault="00080AB1" w:rsidP="00570C75"/>
          <w:p w14:paraId="74CF71F5" w14:textId="77777777" w:rsidR="00080AB1" w:rsidRPr="00AF3DB0" w:rsidRDefault="00080AB1" w:rsidP="00570C75"/>
        </w:tc>
        <w:tc>
          <w:tcPr>
            <w:tcW w:w="1926" w:type="dxa"/>
          </w:tcPr>
          <w:p w14:paraId="5553C63A" w14:textId="77777777" w:rsidR="00D715B9" w:rsidRPr="00AF3DB0" w:rsidRDefault="00D715B9" w:rsidP="00570C75"/>
        </w:tc>
        <w:tc>
          <w:tcPr>
            <w:tcW w:w="1926" w:type="dxa"/>
          </w:tcPr>
          <w:p w14:paraId="09E89396" w14:textId="77777777" w:rsidR="00D715B9" w:rsidRPr="00AF3DB0" w:rsidRDefault="00D715B9" w:rsidP="00570C75"/>
        </w:tc>
        <w:tc>
          <w:tcPr>
            <w:tcW w:w="1926" w:type="dxa"/>
          </w:tcPr>
          <w:p w14:paraId="3A72A647" w14:textId="77777777" w:rsidR="00D715B9" w:rsidRPr="00AF3DB0" w:rsidRDefault="00D715B9" w:rsidP="00570C75"/>
        </w:tc>
        <w:tc>
          <w:tcPr>
            <w:tcW w:w="1499" w:type="dxa"/>
          </w:tcPr>
          <w:p w14:paraId="5B61C1E4" w14:textId="77777777" w:rsidR="00D715B9" w:rsidRPr="00AF3DB0" w:rsidRDefault="00D715B9" w:rsidP="00570C75"/>
        </w:tc>
      </w:tr>
      <w:tr w:rsidR="00D715B9" w:rsidRPr="00AF3DB0" w14:paraId="4FA996BC" w14:textId="77777777" w:rsidTr="00570C75">
        <w:trPr>
          <w:trHeight w:val="270"/>
        </w:trPr>
        <w:tc>
          <w:tcPr>
            <w:tcW w:w="1885" w:type="dxa"/>
            <w:vMerge/>
          </w:tcPr>
          <w:p w14:paraId="61104348" w14:textId="77777777" w:rsidR="00D715B9" w:rsidRPr="00AF3DB0" w:rsidRDefault="00D715B9" w:rsidP="00570C75"/>
        </w:tc>
        <w:tc>
          <w:tcPr>
            <w:tcW w:w="2340" w:type="dxa"/>
          </w:tcPr>
          <w:p w14:paraId="47F20B68" w14:textId="77777777" w:rsidR="00D715B9" w:rsidRDefault="00D715B9" w:rsidP="00570C75">
            <w:r>
              <w:t>Aligned with</w:t>
            </w:r>
            <w:r w:rsidRPr="00AF3DB0">
              <w:t xml:space="preserve"> course content</w:t>
            </w:r>
          </w:p>
          <w:p w14:paraId="2BAC5DFD" w14:textId="77777777" w:rsidR="00D715B9" w:rsidRPr="00AF3DB0" w:rsidRDefault="00D715B9" w:rsidP="00570C75"/>
          <w:p w14:paraId="0E9E7826" w14:textId="77777777" w:rsidR="00D715B9" w:rsidRPr="001857BC" w:rsidRDefault="00D715B9" w:rsidP="00570C75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</w:tcPr>
          <w:p w14:paraId="7073F6FC" w14:textId="77777777" w:rsidR="00D715B9" w:rsidRDefault="00D715B9" w:rsidP="00570C75"/>
          <w:p w14:paraId="2BD70FB1" w14:textId="77777777" w:rsidR="00080AB1" w:rsidRDefault="00080AB1" w:rsidP="00570C75"/>
          <w:p w14:paraId="7481D3BD" w14:textId="77777777" w:rsidR="00080AB1" w:rsidRDefault="00080AB1" w:rsidP="00570C75"/>
          <w:p w14:paraId="33A4DCB7" w14:textId="77777777" w:rsidR="00080AB1" w:rsidRPr="00AF3DB0" w:rsidRDefault="00080AB1" w:rsidP="00570C75"/>
        </w:tc>
        <w:tc>
          <w:tcPr>
            <w:tcW w:w="1926" w:type="dxa"/>
          </w:tcPr>
          <w:p w14:paraId="56B4376A" w14:textId="77777777" w:rsidR="00D715B9" w:rsidRPr="00AF3DB0" w:rsidRDefault="00D715B9" w:rsidP="00570C75"/>
        </w:tc>
        <w:tc>
          <w:tcPr>
            <w:tcW w:w="1926" w:type="dxa"/>
          </w:tcPr>
          <w:p w14:paraId="5ABEBCAA" w14:textId="77777777" w:rsidR="00D715B9" w:rsidRPr="00AF3DB0" w:rsidRDefault="00D715B9" w:rsidP="00570C75"/>
        </w:tc>
        <w:tc>
          <w:tcPr>
            <w:tcW w:w="1926" w:type="dxa"/>
          </w:tcPr>
          <w:p w14:paraId="6258B9D2" w14:textId="77777777" w:rsidR="00D715B9" w:rsidRPr="00AF3DB0" w:rsidRDefault="00D715B9" w:rsidP="00570C75"/>
        </w:tc>
        <w:tc>
          <w:tcPr>
            <w:tcW w:w="1499" w:type="dxa"/>
          </w:tcPr>
          <w:p w14:paraId="00DD94FE" w14:textId="77777777" w:rsidR="00D715B9" w:rsidRPr="00AF3DB0" w:rsidRDefault="00D715B9" w:rsidP="00570C75"/>
        </w:tc>
      </w:tr>
    </w:tbl>
    <w:p w14:paraId="3808888F" w14:textId="77777777" w:rsidR="00D715B9" w:rsidRDefault="00D715B9" w:rsidP="00D715B9">
      <w:pPr>
        <w:pStyle w:val="paragraph"/>
        <w:spacing w:before="0" w:beforeAutospacing="0" w:after="0" w:afterAutospacing="0" w:line="480" w:lineRule="auto"/>
        <w:textAlignment w:val="baseline"/>
      </w:pPr>
    </w:p>
    <w:sectPr w:rsidR="00D715B9" w:rsidSect="00494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F2D1" w14:textId="77777777" w:rsidR="007E0217" w:rsidRDefault="007E0217" w:rsidP="00494BAF">
      <w:r>
        <w:separator/>
      </w:r>
    </w:p>
  </w:endnote>
  <w:endnote w:type="continuationSeparator" w:id="0">
    <w:p w14:paraId="26E11B81" w14:textId="77777777" w:rsidR="007E0217" w:rsidRDefault="007E0217" w:rsidP="0049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CE9A" w14:textId="77777777" w:rsidR="00494BAF" w:rsidRDefault="00494B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4F73" w14:textId="77777777" w:rsidR="00494BAF" w:rsidRDefault="00494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8D98" w14:textId="77777777" w:rsidR="00494BAF" w:rsidRDefault="00494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C4AEC" w14:textId="77777777" w:rsidR="007E0217" w:rsidRDefault="007E0217" w:rsidP="00494BAF">
      <w:r>
        <w:separator/>
      </w:r>
    </w:p>
  </w:footnote>
  <w:footnote w:type="continuationSeparator" w:id="0">
    <w:p w14:paraId="25ED9A67" w14:textId="77777777" w:rsidR="007E0217" w:rsidRDefault="007E0217" w:rsidP="00494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07CA" w14:textId="77777777" w:rsidR="00494BAF" w:rsidRDefault="00494B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F8AD" w14:textId="3EDCBDCF" w:rsidR="00494BAF" w:rsidRPr="00494BAF" w:rsidRDefault="00494BAF">
    <w:pPr>
      <w:pStyle w:val="Header"/>
      <w:rPr>
        <w:sz w:val="20"/>
        <w:szCs w:val="20"/>
      </w:rPr>
    </w:pPr>
    <w:bookmarkStart w:id="0" w:name="_GoBack"/>
    <w:bookmarkEnd w:id="0"/>
    <w:r w:rsidRPr="00494BAF">
      <w:rPr>
        <w:sz w:val="20"/>
        <w:szCs w:val="20"/>
      </w:rPr>
      <w:t>Utilizing an Online Course Design Matrix to Enhance Learner Engagement</w:t>
    </w:r>
    <w:r w:rsidRPr="00494BAF">
      <w:rPr>
        <w:sz w:val="20"/>
        <w:szCs w:val="20"/>
      </w:rPr>
      <w:tab/>
    </w:r>
    <w:r w:rsidRPr="00494BAF">
      <w:rPr>
        <w:sz w:val="20"/>
        <w:szCs w:val="20"/>
      </w:rPr>
      <w:tab/>
    </w:r>
    <w:r w:rsidRPr="00494BAF">
      <w:rPr>
        <w:sz w:val="20"/>
        <w:szCs w:val="20"/>
      </w:rPr>
      <w:tab/>
    </w:r>
    <w:r w:rsidRPr="00494BAF">
      <w:rPr>
        <w:sz w:val="20"/>
        <w:szCs w:val="20"/>
      </w:rPr>
      <w:tab/>
    </w:r>
    <w:r>
      <w:rPr>
        <w:sz w:val="20"/>
        <w:szCs w:val="20"/>
      </w:rPr>
      <w:t>Wells/Ornelles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4A70" w14:textId="77777777" w:rsidR="00494BAF" w:rsidRDefault="00494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9"/>
    <w:rsid w:val="00080AB1"/>
    <w:rsid w:val="000846C8"/>
    <w:rsid w:val="00494BAF"/>
    <w:rsid w:val="006376CC"/>
    <w:rsid w:val="007E0217"/>
    <w:rsid w:val="00A20CE4"/>
    <w:rsid w:val="00D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D8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5B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15B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D715B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15B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5B9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BA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BA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Course Design Matrix for Embedding Critical Components of Engagement</vt:lpstr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Ornelles</dc:creator>
  <cp:keywords/>
  <dc:description/>
  <cp:lastModifiedBy>Cecily Ornelles</cp:lastModifiedBy>
  <cp:revision>2</cp:revision>
  <cp:lastPrinted>2019-10-10T12:29:00Z</cp:lastPrinted>
  <dcterms:created xsi:type="dcterms:W3CDTF">2019-10-10T12:26:00Z</dcterms:created>
  <dcterms:modified xsi:type="dcterms:W3CDTF">2019-10-10T18:37:00Z</dcterms:modified>
</cp:coreProperties>
</file>